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Calibri" w:cs="Times New Roman"/>
          <w:b/>
          <w:bCs/>
          <w:iCs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b/>
          <w:bCs/>
          <w:iCs/>
          <w:kern w:val="0"/>
          <w:sz w:val="24"/>
          <w:szCs w:val="24"/>
          <w14:ligatures w14:val="none"/>
        </w:rPr>
        <w:t xml:space="preserve">Приложение 2. 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>Форма аудита условий оказания услуг.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b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4"/>
          <w:szCs w:val="24"/>
          <w14:ligatures w14:val="none"/>
        </w:rPr>
        <w:t>____________________________________________________________________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kern w:val="0"/>
          <w:sz w:val="20"/>
          <w:szCs w:val="20"/>
          <w14:ligatures w14:val="none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>наименование организации культуры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b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4"/>
          <w:szCs w:val="24"/>
          <w14:ligatures w14:val="none"/>
        </w:rPr>
        <w:t>____________________________________________________________________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kern w:val="0"/>
          <w:sz w:val="20"/>
          <w:szCs w:val="20"/>
          <w14:ligatures w14:val="none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>наименование муниципального образования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rPr>
          <w:rFonts w:ascii="Times New Roman" w:hAnsi="Times New Roman" w:eastAsia="Calibri" w:cs="Times New Roman"/>
          <w:kern w:val="0"/>
          <w:sz w:val="20"/>
          <w:szCs w:val="20"/>
          <w14:ligatures w14:val="none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>_________________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rPr>
          <w:rFonts w:ascii="Times New Roman" w:hAnsi="Times New Roman" w:eastAsia="Calibri" w:cs="Times New Roman"/>
          <w:kern w:val="0"/>
          <w:sz w:val="20"/>
          <w:szCs w:val="20"/>
          <w14:ligatures w14:val="none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 xml:space="preserve">   </w:t>
      </w: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>дата заполнения</w:t>
      </w:r>
    </w:p>
    <w:p>
      <w:pPr>
        <w:pStyle w:val="Normal"/>
        <w:tabs>
          <w:tab w:val="clear" w:pos="708"/>
          <w:tab w:val="left" w:pos="3969" w:leader="none"/>
          <w:tab w:val="left" w:pos="4395" w:leader="none"/>
        </w:tabs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kern w:val="0"/>
          <w:sz w:val="20"/>
          <w:szCs w:val="20"/>
          <w14:ligatures w14:val="none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787"/>
        <w:gridCol w:w="6942"/>
        <w:gridCol w:w="1626"/>
      </w:tblGrid>
      <w:tr>
        <w:trPr>
          <w:tblHeader w:val="true"/>
        </w:trPr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start="-113" w:end="-113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Показатель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Наличие/ отсутствие информации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(+ /-)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Показатели, характеризующие открытость и доступность информации об организации культуры</w:t>
            </w:r>
          </w:p>
        </w:tc>
      </w:tr>
      <w:tr>
        <w:trPr>
          <w:trHeight w:val="76" w:hRule="atLeast"/>
        </w:trPr>
        <w:tc>
          <w:tcPr>
            <w:tcW w:w="787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1.1.1.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14:ligatures w14:val="none"/>
              </w:rPr>
              <w:t>На информационных стендах в помещении организации</w:t>
            </w:r>
          </w:p>
        </w:tc>
      </w:tr>
      <w:tr>
        <w:trPr>
          <w:trHeight w:val="330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I. Общая информация об организации культуры</w:t>
            </w:r>
          </w:p>
        </w:tc>
      </w:tr>
      <w:tr>
        <w:trPr>
          <w:trHeight w:val="61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1. 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61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2. Место нахождения организации культуры и ее филиалов (при наличии)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61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037" w:leader="none"/>
              </w:tabs>
              <w:spacing w:lineRule="auto" w:line="240" w:before="0" w:after="0"/>
              <w:jc w:val="both"/>
              <w:rPr>
                <w:rFonts w:ascii="Calibri" w:hAnsi="Calibri"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3. 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61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4. 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Х</w:t>
            </w:r>
          </w:p>
        </w:tc>
      </w:tr>
      <w:tr>
        <w:trPr>
          <w:trHeight w:val="37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5. 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37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6. Режим, график работы организации культуры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415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II. Информация о деятельности организации культуры</w:t>
            </w:r>
          </w:p>
        </w:tc>
      </w:tr>
      <w:tr>
        <w:trPr>
          <w:trHeight w:val="70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7. Виды предоставляемых услуг организацией культуры 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601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  <w:r>
              <w:rPr>
                <w:rFonts w:eastAsia="Calibri" w:cs="Times New Roman" w:ascii="Calibri" w:hAnsi="Calibri"/>
                <w:kern w:val="0"/>
                <w14:ligatures w14:val="none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Перечень оказываемых платных услуг (при наличии)</w:t>
            </w:r>
            <w:r>
              <w:rPr>
                <w:rStyle w:val="FootnoteReference"/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footnoteReference w:id="2"/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176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9. Материально-техническое обеспечение предоставления услуг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Х</w:t>
            </w:r>
          </w:p>
        </w:tc>
      </w:tr>
      <w:tr>
        <w:trPr>
          <w:trHeight w:val="862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10.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Х</w:t>
            </w:r>
          </w:p>
        </w:tc>
      </w:tr>
      <w:tr>
        <w:trPr>
          <w:trHeight w:val="70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11. Информация о планируемых мероприятиях (анонсы, афиши, акции), новости, события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420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12.</w:t>
              <w:tab/>
              <w:t>Копии лицензий на осуществление деятельности, подлежащей лицензированию в соответствии с законодательством Российской Федерации (при осуществлении соответствующих видов деятельности)</w:t>
            </w:r>
            <w:r>
              <w:rPr>
                <w:rStyle w:val="FootnoteReference"/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footnoteReference w:id="3"/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420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III. Информация о независимой оценке качества</w:t>
            </w:r>
          </w:p>
        </w:tc>
      </w:tr>
      <w:tr>
        <w:trPr>
          <w:trHeight w:val="1202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13.</w:t>
              <w:tab/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 xml:space="preserve">         </w:t>
            </w:r>
          </w:p>
        </w:tc>
      </w:tr>
      <w:tr>
        <w:trPr>
          <w:trHeight w:val="427" w:hRule="atLeast"/>
        </w:trPr>
        <w:tc>
          <w:tcPr>
            <w:tcW w:w="787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14. Ссылка либо qr-код на страницу учреждения на официальном сайте bus.gov.ru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Показатели, характеризующие комфортность условий предоставления услуг</w:t>
            </w:r>
          </w:p>
        </w:tc>
      </w:tr>
      <w:tr>
        <w:trPr>
          <w:trHeight w:val="257" w:hRule="atLeast"/>
        </w:trPr>
        <w:tc>
          <w:tcPr>
            <w:tcW w:w="78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2.1.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14:ligatures w14:val="none"/>
              </w:rPr>
              <w:t xml:space="preserve">Обеспечение в организации комфортных условий для предоставления услуг </w:t>
            </w:r>
          </w:p>
        </w:tc>
      </w:tr>
      <w:tr>
        <w:trPr>
          <w:trHeight w:val="292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  <w:t>1. Наличие комфортной зоны отдыха (ожидания) оборудованной соответствующей мебелью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347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  <w:t>2. Наличие и понятность навигации внутри организации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267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  <w:t>3. Доступность питьевой воды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303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  <w:t>4. Наличие и доступность санитарно-гигиенических помещений (чистота помещений, наличие мыла, воды, туалетной бумаги и пр.)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233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5. Санитарное состояние помещений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233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  <w:r>
              <w:rPr>
                <w:rFonts w:eastAsia="Times New Roman" w:cs="Times New Roman" w:ascii="Times New Roman CYR" w:hAnsi="Times New Roman CYR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Возможность бронирования услуги/доступность записи на получение услуги (по телефону, с использованием сети «Интернет» на сайте организации, при личном посещении и пр.)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14:ligatures w14:val="none"/>
              </w:rPr>
            </w:r>
          </w:p>
        </w:tc>
      </w:tr>
      <w:tr>
        <w:trPr>
          <w:trHeight w:val="380" w:hRule="atLeast"/>
        </w:trPr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Показатели, характеризующие доступность услуг для инвалидов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hd w:fill="FFFFFF" w:val="clear"/>
                <w14:ligatures w14:val="none"/>
              </w:rPr>
              <w:t>Оборудование помещений организации культуры и прилегающей к ней территории с учетом доступности для инвалидов</w:t>
            </w:r>
          </w:p>
        </w:tc>
      </w:tr>
      <w:tr>
        <w:trPr>
          <w:trHeight w:val="653" w:hRule="atLeast"/>
        </w:trPr>
        <w:tc>
          <w:tcPr>
            <w:tcW w:w="78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3.1.1.</w:t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1. Оборудование входных групп пандусами (подъемными платформами)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158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 xml:space="preserve">2. Наличие выделенных стоянок для автотранспортных средств инвалидов 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391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3. Наличие адаптированных лифтов, поручней, расширенных дверных проемов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174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 xml:space="preserve">4. Наличие сменных кресел-колясок 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302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5. Наличие специально оборудованных санитарно-гигиенических помещений в организации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240" w:hRule="atLeast"/>
        </w:trPr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</w:tc>
      </w:tr>
      <w:tr>
        <w:trPr>
          <w:trHeight w:val="360" w:hRule="atLeast"/>
        </w:trPr>
        <w:tc>
          <w:tcPr>
            <w:tcW w:w="78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3.2.1.</w:t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 xml:space="preserve">1. Дублирование для инвалидов по слуху и зрению звуковой и зрительной информации 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14:ligatures w14:val="none"/>
              </w:rPr>
            </w:r>
          </w:p>
        </w:tc>
      </w:tr>
      <w:tr>
        <w:trPr>
          <w:trHeight w:val="300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2.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14:ligatures w14:val="none"/>
              </w:rPr>
            </w:r>
          </w:p>
        </w:tc>
      </w:tr>
      <w:tr>
        <w:trPr>
          <w:trHeight w:val="559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 xml:space="preserve">3. Возможность предоставления инвалидам по слуху (слуху и зрению) услуг сурдопереводчика (тифлосурдопереводчика) 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14:ligatures w14:val="none"/>
              </w:rPr>
            </w:r>
          </w:p>
        </w:tc>
      </w:tr>
      <w:tr>
        <w:trPr>
          <w:trHeight w:val="419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end="-105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4.</w:t>
            </w:r>
            <w:r>
              <w:rPr>
                <w:rFonts w:eastAsia="Times New Roman" w:cs="Times New Roman CYR" w:ascii="Times New Roman CYR" w:hAnsi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аличие альтернативной версии официального сайта организации в сети «Интернет» для инвалидов по зрению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419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end="-105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5. Помощь, оказываемая работниками организации культуры, прошедшими необходимое обучение (инструктирование) по сопровождению инвалидов в помещениях организации и на прилегающей территории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  <w:tr>
        <w:trPr>
          <w:trHeight w:val="492" w:hRule="atLeast"/>
        </w:trPr>
        <w:tc>
          <w:tcPr>
            <w:tcW w:w="78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6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  <w:t>6. Наличие возможности предоставления услуги в дистанционном режиме или на дому</w:t>
            </w:r>
          </w:p>
        </w:tc>
        <w:tc>
          <w:tcPr>
            <w:tcW w:w="1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eastAsia="ru-RU"/>
                <w14:ligatures w14:val="none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824" w:leader="none"/>
        </w:tabs>
        <w:spacing w:lineRule="auto" w:line="276" w:before="0" w:after="0"/>
        <w:jc w:val="center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widowControl w:val="false"/>
        <w:tabs>
          <w:tab w:val="clear" w:pos="708"/>
          <w:tab w:val="left" w:pos="4824" w:leader="none"/>
        </w:tabs>
        <w:spacing w:lineRule="auto" w:line="276" w:before="0" w:after="0"/>
        <w:jc w:val="center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b/>
        </w:rPr>
      </w:pPr>
      <w:r>
        <w:rPr>
          <w:rStyle w:val="Style9"/>
        </w:rPr>
        <w:footnoteRef/>
      </w:r>
      <w:r>
        <w:rPr/>
        <w:t xml:space="preserve"> </w:t>
      </w:r>
      <w:r>
        <w:rPr/>
        <w:t>При отсутствии платных услуг размещение соответствующей информации не требуется. В соответствующей графе прописываем</w:t>
      </w:r>
      <w:r>
        <w:rPr>
          <w:b/>
        </w:rPr>
        <w:t>: «не требуется»</w:t>
      </w:r>
    </w:p>
  </w:footnote>
  <w:footnote w:id="3">
    <w:p>
      <w:pPr>
        <w:pStyle w:val="FootnoteText"/>
        <w:rPr>
          <w:b/>
        </w:rPr>
      </w:pPr>
      <w:r>
        <w:rPr>
          <w:rStyle w:val="Style9"/>
        </w:rPr>
        <w:footnoteRef/>
      </w:r>
      <w:r>
        <w:rPr/>
        <w:t xml:space="preserve"> </w:t>
      </w:r>
      <w:r>
        <w:rPr/>
        <w:t>При отсутствии лицензируемых видов деятельности размещение соответствующей информации не требуется. В соответствующей графе прописываем</w:t>
      </w:r>
      <w:r>
        <w:rPr>
          <w:b/>
        </w:rPr>
        <w:t>: «не требуется»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60223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60223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6022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6022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6022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6022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6022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6022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6022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60223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60223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60223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60223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60223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60223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60223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60223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60223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60223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6022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6022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60223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60223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260223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Текст сноски Знак"/>
    <w:basedOn w:val="DefaultParagraphFont"/>
    <w:uiPriority w:val="99"/>
    <w:semiHidden/>
    <w:qFormat/>
    <w:rsid w:val="00260223"/>
    <w:rPr>
      <w:sz w:val="20"/>
      <w:szCs w:val="20"/>
    </w:rPr>
  </w:style>
  <w:style w:type="character" w:styleId="Style9">
    <w:name w:val="Символ сноски"/>
    <w:uiPriority w:val="99"/>
    <w:unhideWhenUsed/>
    <w:qFormat/>
    <w:rsid w:val="0026022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0">
    <w:name w:val="Символ концевой сноски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260223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26022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6022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6022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60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FootnoteText">
    <w:name w:val="footnote text"/>
    <w:basedOn w:val="Normal"/>
    <w:link w:val="Style8"/>
    <w:uiPriority w:val="99"/>
    <w:semiHidden/>
    <w:unhideWhenUsed/>
    <w:rsid w:val="00260223"/>
    <w:pPr>
      <w:spacing w:lineRule="auto" w:line="240" w:before="0" w:after="0"/>
    </w:pPr>
    <w:rPr>
      <w:sz w:val="20"/>
      <w:szCs w:val="20"/>
    </w:rPr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LibreOffice/25.2.6.2$Linux_X86_64 LibreOffice_project/520$Build-2</Application>
  <AppVersion>15.0000</AppVersion>
  <Pages>3</Pages>
  <Words>569</Words>
  <Characters>4398</Characters>
  <CharactersWithSpaces>4922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2026-06-23T10:00:00Z</dcterms:created>
  <dc:creator>Кузнецов Александр</dc:creator>
  <dc:description/>
  <dc:language>ru-RU</dc:language>
  <cp:lastModifiedBy>Кузнецов Александр</cp:lastModifiedBy>
  <dcterms:modified xsi:type="dcterms:W3CDTF">2026-09-03T02:21:00Z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